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4AD8" w14:textId="3E2CE37B" w:rsidR="001B667D" w:rsidRPr="003628E8" w:rsidRDefault="00F30B2C" w:rsidP="00DE5AD5">
      <w:pPr>
        <w:spacing w:after="0" w:line="240" w:lineRule="auto"/>
        <w:ind w:left="-709"/>
        <w:rPr>
          <w:b/>
          <w:bCs/>
        </w:rPr>
      </w:pPr>
      <w:r>
        <w:rPr>
          <w:rFonts w:eastAsia="Arial"/>
          <w:b/>
          <w:spacing w:val="-1"/>
        </w:rPr>
        <w:t>I</w:t>
      </w:r>
      <w:r>
        <w:rPr>
          <w:rFonts w:eastAsia="Arial"/>
          <w:b/>
          <w:spacing w:val="2"/>
        </w:rPr>
        <w:t>T</w:t>
      </w:r>
      <w:r>
        <w:rPr>
          <w:rFonts w:eastAsia="Arial"/>
          <w:b/>
          <w:spacing w:val="-1"/>
        </w:rPr>
        <w:t>E</w:t>
      </w:r>
      <w:r>
        <w:rPr>
          <w:rFonts w:eastAsia="Arial"/>
          <w:b/>
        </w:rPr>
        <w:t>M 1</w:t>
      </w:r>
      <w:r>
        <w:rPr>
          <w:rFonts w:eastAsia="Arial"/>
          <w:b/>
          <w:spacing w:val="1"/>
        </w:rPr>
        <w:t xml:space="preserve"> </w:t>
      </w:r>
      <w:r>
        <w:rPr>
          <w:rFonts w:eastAsia="Arial"/>
          <w:b/>
        </w:rPr>
        <w:t>–</w:t>
      </w:r>
      <w:r>
        <w:rPr>
          <w:rFonts w:eastAsia="Arial"/>
          <w:b/>
          <w:spacing w:val="-1"/>
        </w:rPr>
        <w:t xml:space="preserve"> DA</w:t>
      </w:r>
      <w:r>
        <w:rPr>
          <w:rFonts w:eastAsia="Arial"/>
          <w:b/>
          <w:spacing w:val="1"/>
        </w:rPr>
        <w:t>-</w:t>
      </w:r>
      <w:r>
        <w:rPr>
          <w:rFonts w:eastAsia="Arial"/>
          <w:b/>
        </w:rPr>
        <w:t>259/2022 – 430 Fifteenth Avenue, Austral</w:t>
      </w:r>
    </w:p>
    <w:p w14:paraId="67E928EB" w14:textId="77777777" w:rsidR="001B667D" w:rsidRPr="003628E8" w:rsidRDefault="001B667D" w:rsidP="00080B43">
      <w:pPr>
        <w:spacing w:after="0" w:line="240" w:lineRule="auto"/>
        <w:rPr>
          <w:b/>
          <w:bCs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741ABF" w:rsidRPr="003628E8" w14:paraId="60868EAE" w14:textId="77777777" w:rsidTr="00095CA6">
        <w:tc>
          <w:tcPr>
            <w:tcW w:w="2410" w:type="dxa"/>
          </w:tcPr>
          <w:p w14:paraId="76D3A126" w14:textId="77777777" w:rsidR="00741ABF" w:rsidRPr="003628E8" w:rsidRDefault="00741ABF" w:rsidP="00741ABF">
            <w:pPr>
              <w:rPr>
                <w:b/>
                <w:bCs/>
              </w:rPr>
            </w:pPr>
            <w:r w:rsidRPr="003628E8">
              <w:rPr>
                <w:b/>
                <w:bCs/>
              </w:rPr>
              <w:t>DA Number:</w:t>
            </w:r>
          </w:p>
        </w:tc>
        <w:tc>
          <w:tcPr>
            <w:tcW w:w="7797" w:type="dxa"/>
          </w:tcPr>
          <w:p w14:paraId="2FDA3095" w14:textId="41A2E253" w:rsidR="00741ABF" w:rsidRPr="003628E8" w:rsidRDefault="00741ABF" w:rsidP="00741ABF">
            <w:pPr>
              <w:jc w:val="both"/>
              <w:rPr>
                <w:b/>
                <w:bCs/>
              </w:rPr>
            </w:pPr>
            <w:r>
              <w:rPr>
                <w:rFonts w:eastAsia="Arial"/>
                <w:spacing w:val="-1"/>
              </w:rPr>
              <w:t>DA</w:t>
            </w:r>
            <w:r>
              <w:rPr>
                <w:rFonts w:eastAsia="Arial"/>
                <w:spacing w:val="1"/>
              </w:rPr>
              <w:t>-</w:t>
            </w:r>
            <w:r>
              <w:rPr>
                <w:rFonts w:eastAsia="Arial"/>
              </w:rPr>
              <w:t>259/2022</w:t>
            </w:r>
          </w:p>
        </w:tc>
      </w:tr>
      <w:tr w:rsidR="001B667D" w:rsidRPr="003628E8" w14:paraId="4A9E6EE4" w14:textId="77777777" w:rsidTr="00095CA6">
        <w:tc>
          <w:tcPr>
            <w:tcW w:w="2410" w:type="dxa"/>
          </w:tcPr>
          <w:p w14:paraId="251C9F26" w14:textId="77777777" w:rsidR="001B667D" w:rsidRPr="003628E8" w:rsidRDefault="001B667D" w:rsidP="00080B43">
            <w:pPr>
              <w:rPr>
                <w:b/>
                <w:bCs/>
              </w:rPr>
            </w:pPr>
            <w:r w:rsidRPr="003628E8">
              <w:rPr>
                <w:b/>
                <w:bCs/>
              </w:rPr>
              <w:t>Property Address:</w:t>
            </w:r>
          </w:p>
        </w:tc>
        <w:tc>
          <w:tcPr>
            <w:tcW w:w="7797" w:type="dxa"/>
          </w:tcPr>
          <w:p w14:paraId="20DF8F3C" w14:textId="77777777" w:rsidR="00483F16" w:rsidRDefault="00483F16" w:rsidP="00483F16">
            <w:pPr>
              <w:spacing w:line="240" w:lineRule="exact"/>
              <w:rPr>
                <w:rFonts w:eastAsia="Arial"/>
              </w:rPr>
            </w:pPr>
            <w:r>
              <w:rPr>
                <w:rFonts w:eastAsia="Arial"/>
              </w:rPr>
              <w:t>430 Fifteenth Avenue,</w:t>
            </w:r>
            <w:r>
              <w:rPr>
                <w:rFonts w:eastAsia="Arial"/>
                <w:spacing w:val="2"/>
              </w:rPr>
              <w:t xml:space="preserve"> </w:t>
            </w:r>
            <w:r>
              <w:rPr>
                <w:rFonts w:eastAsia="Arial"/>
                <w:spacing w:val="-1"/>
              </w:rPr>
              <w:t>Austral</w:t>
            </w:r>
          </w:p>
          <w:p w14:paraId="16D02815" w14:textId="3B86A253" w:rsidR="001B667D" w:rsidRPr="003628E8" w:rsidRDefault="00483F16" w:rsidP="00483F16">
            <w:pPr>
              <w:jc w:val="both"/>
            </w:pPr>
            <w:r>
              <w:rPr>
                <w:rFonts w:eastAsia="Arial"/>
              </w:rPr>
              <w:t>Lot</w:t>
            </w:r>
            <w:r>
              <w:rPr>
                <w:rFonts w:eastAsia="Arial"/>
                <w:spacing w:val="2"/>
              </w:rPr>
              <w:t xml:space="preserve"> </w:t>
            </w:r>
            <w:r>
              <w:rPr>
                <w:rFonts w:eastAsia="Arial"/>
              </w:rPr>
              <w:t>415,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>D</w:t>
            </w:r>
            <w:r>
              <w:rPr>
                <w:rFonts w:eastAsia="Arial"/>
              </w:rPr>
              <w:t>P 2</w:t>
            </w:r>
            <w:r>
              <w:rPr>
                <w:rFonts w:eastAsia="Arial"/>
                <w:spacing w:val="-1"/>
              </w:rPr>
              <w:t>475</w:t>
            </w:r>
          </w:p>
        </w:tc>
      </w:tr>
      <w:tr w:rsidR="001B667D" w:rsidRPr="003628E8" w14:paraId="333CDE70" w14:textId="77777777" w:rsidTr="00095CA6">
        <w:tc>
          <w:tcPr>
            <w:tcW w:w="2410" w:type="dxa"/>
          </w:tcPr>
          <w:p w14:paraId="3B1102AF" w14:textId="77777777" w:rsidR="001B667D" w:rsidRPr="003628E8" w:rsidRDefault="001B667D" w:rsidP="00080B43">
            <w:pPr>
              <w:rPr>
                <w:b/>
                <w:bCs/>
              </w:rPr>
            </w:pPr>
            <w:r w:rsidRPr="003628E8">
              <w:rPr>
                <w:b/>
                <w:bCs/>
              </w:rPr>
              <w:t>Development Category:</w:t>
            </w:r>
          </w:p>
        </w:tc>
        <w:tc>
          <w:tcPr>
            <w:tcW w:w="7797" w:type="dxa"/>
          </w:tcPr>
          <w:p w14:paraId="16A0D5F5" w14:textId="4B45C5DB" w:rsidR="001B667D" w:rsidRPr="003628E8" w:rsidRDefault="001B667D" w:rsidP="00080B43">
            <w:pPr>
              <w:jc w:val="both"/>
            </w:pPr>
            <w:r w:rsidRPr="003628E8">
              <w:t>Residential</w:t>
            </w:r>
            <w:r w:rsidR="00483F16">
              <w:t xml:space="preserve"> Subdivision</w:t>
            </w:r>
          </w:p>
        </w:tc>
      </w:tr>
      <w:tr w:rsidR="00715986" w:rsidRPr="003628E8" w14:paraId="1221904E" w14:textId="77777777" w:rsidTr="00095CA6">
        <w:tc>
          <w:tcPr>
            <w:tcW w:w="2410" w:type="dxa"/>
          </w:tcPr>
          <w:p w14:paraId="412E3EA3" w14:textId="77777777" w:rsidR="00715986" w:rsidRPr="003628E8" w:rsidRDefault="00715986" w:rsidP="00715986">
            <w:pPr>
              <w:rPr>
                <w:b/>
                <w:bCs/>
              </w:rPr>
            </w:pPr>
            <w:r w:rsidRPr="003628E8">
              <w:rPr>
                <w:b/>
                <w:bCs/>
              </w:rPr>
              <w:t>Description:</w:t>
            </w:r>
          </w:p>
        </w:tc>
        <w:tc>
          <w:tcPr>
            <w:tcW w:w="7797" w:type="dxa"/>
          </w:tcPr>
          <w:p w14:paraId="2625C5CA" w14:textId="43298359" w:rsidR="00715986" w:rsidRPr="003628E8" w:rsidRDefault="00715986" w:rsidP="00715986">
            <w:pPr>
              <w:jc w:val="both"/>
            </w:pPr>
            <w:r w:rsidRPr="00715986">
              <w:rPr>
                <w:rFonts w:eastAsia="Arial"/>
              </w:rPr>
              <w:t>Three (3) lot Torrens title subdivision with site remediation, tree removal, construction of roads and associated civil works.</w:t>
            </w:r>
          </w:p>
        </w:tc>
      </w:tr>
      <w:tr w:rsidR="00502ECB" w:rsidRPr="003628E8" w14:paraId="707FBE55" w14:textId="77777777" w:rsidTr="00095CA6">
        <w:tc>
          <w:tcPr>
            <w:tcW w:w="2410" w:type="dxa"/>
          </w:tcPr>
          <w:p w14:paraId="2CA9C379" w14:textId="77777777" w:rsidR="00502ECB" w:rsidRPr="003628E8" w:rsidRDefault="00502ECB" w:rsidP="00502ECB">
            <w:pPr>
              <w:rPr>
                <w:b/>
                <w:bCs/>
              </w:rPr>
            </w:pPr>
            <w:r w:rsidRPr="003628E8">
              <w:rPr>
                <w:b/>
                <w:bCs/>
              </w:rPr>
              <w:t>Environmental Planning Instrument:</w:t>
            </w:r>
          </w:p>
        </w:tc>
        <w:tc>
          <w:tcPr>
            <w:tcW w:w="7797" w:type="dxa"/>
          </w:tcPr>
          <w:p w14:paraId="07BCC936" w14:textId="1D187523" w:rsidR="00502ECB" w:rsidRPr="00715986" w:rsidRDefault="00502ECB" w:rsidP="00502ECB">
            <w:pPr>
              <w:jc w:val="both"/>
              <w:rPr>
                <w:highlight w:val="yellow"/>
              </w:rPr>
            </w:pPr>
            <w:r w:rsidRPr="001230A8">
              <w:rPr>
                <w:rFonts w:eastAsia="Arial"/>
              </w:rPr>
              <w:t>State environmental Planning Policy (Precincts - Western Parkland City) 2021</w:t>
            </w:r>
          </w:p>
        </w:tc>
      </w:tr>
      <w:tr w:rsidR="009B4198" w:rsidRPr="003628E8" w14:paraId="7963ABF5" w14:textId="77777777" w:rsidTr="00095CA6">
        <w:tc>
          <w:tcPr>
            <w:tcW w:w="2410" w:type="dxa"/>
          </w:tcPr>
          <w:p w14:paraId="6FB5B90A" w14:textId="77777777" w:rsidR="009B4198" w:rsidRPr="003628E8" w:rsidRDefault="009B4198" w:rsidP="009B4198">
            <w:pPr>
              <w:rPr>
                <w:b/>
                <w:bCs/>
              </w:rPr>
            </w:pPr>
            <w:r w:rsidRPr="003628E8">
              <w:rPr>
                <w:b/>
                <w:bCs/>
              </w:rPr>
              <w:t>Zoning of Land:</w:t>
            </w:r>
          </w:p>
        </w:tc>
        <w:tc>
          <w:tcPr>
            <w:tcW w:w="7797" w:type="dxa"/>
          </w:tcPr>
          <w:p w14:paraId="29889FB5" w14:textId="64F74000" w:rsidR="009B4198" w:rsidRPr="00715986" w:rsidRDefault="009B4198" w:rsidP="009B4198">
            <w:pPr>
              <w:jc w:val="both"/>
              <w:rPr>
                <w:highlight w:val="yellow"/>
              </w:rPr>
            </w:pPr>
            <w:r>
              <w:rPr>
                <w:rFonts w:eastAsia="Arial"/>
              </w:rPr>
              <w:t>R3 Medium Density Residential</w:t>
            </w:r>
          </w:p>
        </w:tc>
      </w:tr>
      <w:tr w:rsidR="00973799" w:rsidRPr="003628E8" w14:paraId="55911DA1" w14:textId="77777777" w:rsidTr="00095CA6">
        <w:tc>
          <w:tcPr>
            <w:tcW w:w="2410" w:type="dxa"/>
          </w:tcPr>
          <w:p w14:paraId="7FC8C199" w14:textId="77777777" w:rsidR="00973799" w:rsidRPr="003628E8" w:rsidRDefault="00973799" w:rsidP="00973799">
            <w:pPr>
              <w:rPr>
                <w:b/>
                <w:bCs/>
              </w:rPr>
            </w:pPr>
            <w:r w:rsidRPr="003628E8">
              <w:rPr>
                <w:b/>
                <w:bCs/>
              </w:rPr>
              <w:t>Development Standard Varied:</w:t>
            </w:r>
          </w:p>
        </w:tc>
        <w:tc>
          <w:tcPr>
            <w:tcW w:w="7797" w:type="dxa"/>
          </w:tcPr>
          <w:p w14:paraId="53B8047D" w14:textId="7FB6CDDB" w:rsidR="00973799" w:rsidRPr="00715986" w:rsidRDefault="00973799" w:rsidP="00973799">
            <w:pPr>
              <w:jc w:val="both"/>
              <w:rPr>
                <w:highlight w:val="yellow"/>
              </w:rPr>
            </w:pPr>
            <w:r>
              <w:rPr>
                <w:rFonts w:eastAsia="Arial"/>
              </w:rPr>
              <w:t>Clause 4.1B – Residential Density</w:t>
            </w:r>
          </w:p>
        </w:tc>
      </w:tr>
      <w:tr w:rsidR="00715986" w:rsidRPr="003628E8" w14:paraId="2F9ED4A2" w14:textId="77777777" w:rsidTr="00095CA6">
        <w:tc>
          <w:tcPr>
            <w:tcW w:w="2410" w:type="dxa"/>
          </w:tcPr>
          <w:p w14:paraId="3B2A8ABF" w14:textId="77777777" w:rsidR="00715986" w:rsidRPr="00BC6F97" w:rsidRDefault="00715986" w:rsidP="00715986">
            <w:pPr>
              <w:rPr>
                <w:b/>
                <w:bCs/>
              </w:rPr>
            </w:pPr>
            <w:r w:rsidRPr="00BC6F97">
              <w:rPr>
                <w:b/>
                <w:bCs/>
              </w:rPr>
              <w:t>Justification of Variation:</w:t>
            </w:r>
          </w:p>
        </w:tc>
        <w:tc>
          <w:tcPr>
            <w:tcW w:w="7797" w:type="dxa"/>
          </w:tcPr>
          <w:p w14:paraId="5D82F0D4" w14:textId="5281BBF7" w:rsidR="00D36535" w:rsidRDefault="00F86AF2" w:rsidP="00CC18D5">
            <w:pPr>
              <w:jc w:val="both"/>
              <w:rPr>
                <w:rFonts w:eastAsia="Arial"/>
              </w:rPr>
            </w:pPr>
            <w:r w:rsidRPr="00301314">
              <w:rPr>
                <w:rFonts w:eastAsia="Arial"/>
              </w:rPr>
              <w:t xml:space="preserve">The proposed variation to </w:t>
            </w:r>
            <w:r w:rsidR="00DE5AD5">
              <w:rPr>
                <w:rFonts w:eastAsia="Arial"/>
              </w:rPr>
              <w:t>the residential density standard</w:t>
            </w:r>
            <w:r w:rsidRPr="00301314">
              <w:rPr>
                <w:rFonts w:eastAsia="Arial"/>
              </w:rPr>
              <w:t xml:space="preserve"> was considered acceptable in </w:t>
            </w:r>
            <w:r w:rsidR="00D36535">
              <w:rPr>
                <w:rFonts w:eastAsia="Arial"/>
              </w:rPr>
              <w:t>this instance given the future land use proposed across the three (3) proposed lots</w:t>
            </w:r>
            <w:r w:rsidR="001D2C1B">
              <w:rPr>
                <w:rFonts w:eastAsia="Arial"/>
              </w:rPr>
              <w:t>,</w:t>
            </w:r>
            <w:r w:rsidR="00D36535">
              <w:rPr>
                <w:rFonts w:eastAsia="Arial"/>
              </w:rPr>
              <w:t xml:space="preserve"> and therefore strict compliance was unreasonable or </w:t>
            </w:r>
            <w:r w:rsidR="006F0DA2">
              <w:rPr>
                <w:rFonts w:eastAsia="Arial"/>
              </w:rPr>
              <w:t>unnecessary</w:t>
            </w:r>
            <w:r w:rsidR="00D36535">
              <w:rPr>
                <w:rFonts w:eastAsia="Arial"/>
              </w:rPr>
              <w:t xml:space="preserve"> in this circumstance. </w:t>
            </w:r>
          </w:p>
          <w:p w14:paraId="42B2A3C3" w14:textId="77777777" w:rsidR="00D36535" w:rsidRDefault="00D36535" w:rsidP="00CC18D5">
            <w:pPr>
              <w:jc w:val="both"/>
              <w:rPr>
                <w:rFonts w:eastAsia="Arial"/>
              </w:rPr>
            </w:pPr>
          </w:p>
          <w:p w14:paraId="47A2DB2C" w14:textId="4FF28816" w:rsidR="00CC18D5" w:rsidRPr="00301314" w:rsidRDefault="006F0DA2" w:rsidP="00CC18D5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T</w:t>
            </w:r>
            <w:r w:rsidR="00F86AF2" w:rsidRPr="00301314">
              <w:rPr>
                <w:rFonts w:eastAsia="Arial"/>
              </w:rPr>
              <w:t xml:space="preserve">he </w:t>
            </w:r>
            <w:r>
              <w:rPr>
                <w:rFonts w:eastAsia="Arial"/>
              </w:rPr>
              <w:t xml:space="preserve">proposed </w:t>
            </w:r>
            <w:r w:rsidR="00F86AF2" w:rsidRPr="00301314">
              <w:rPr>
                <w:rFonts w:eastAsia="Arial"/>
              </w:rPr>
              <w:t>super-lot subdivision proposal and the indicative subdivision plan indicate two lots could achieve provision of Residential Flat Buildings</w:t>
            </w:r>
            <w:r w:rsidR="00B757D5">
              <w:rPr>
                <w:rFonts w:eastAsia="Arial"/>
              </w:rPr>
              <w:t>,</w:t>
            </w:r>
            <w:r w:rsidR="00F86AF2" w:rsidRPr="00301314">
              <w:rPr>
                <w:rFonts w:eastAsia="Arial"/>
              </w:rPr>
              <w:t xml:space="preserve"> which would meet the minimum density requirement</w:t>
            </w:r>
            <w:r w:rsidR="00253E9D">
              <w:rPr>
                <w:rFonts w:eastAsia="Arial"/>
              </w:rPr>
              <w:t xml:space="preserve"> and </w:t>
            </w:r>
            <w:r w:rsidR="00B757D5">
              <w:rPr>
                <w:rFonts w:eastAsia="Arial"/>
              </w:rPr>
              <w:t>was</w:t>
            </w:r>
            <w:r w:rsidR="00253E9D">
              <w:rPr>
                <w:rFonts w:eastAsia="Arial"/>
              </w:rPr>
              <w:t xml:space="preserve"> deem</w:t>
            </w:r>
            <w:r w:rsidR="00F54203">
              <w:rPr>
                <w:rFonts w:eastAsia="Arial"/>
              </w:rPr>
              <w:t>ed</w:t>
            </w:r>
            <w:r w:rsidR="00253E9D">
              <w:rPr>
                <w:rFonts w:eastAsia="Arial"/>
              </w:rPr>
              <w:t xml:space="preserve"> suitable in terms of the site context and locality.</w:t>
            </w:r>
          </w:p>
          <w:p w14:paraId="35A33866" w14:textId="57CD6B3E" w:rsidR="00CC18D5" w:rsidRPr="00301314" w:rsidRDefault="00CC18D5" w:rsidP="00CC18D5">
            <w:pPr>
              <w:jc w:val="both"/>
              <w:rPr>
                <w:rFonts w:eastAsia="Arial"/>
              </w:rPr>
            </w:pPr>
          </w:p>
          <w:p w14:paraId="54E8B72F" w14:textId="2DAABA77" w:rsidR="009435D4" w:rsidRDefault="00253E9D" w:rsidP="00CC18D5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The objectives of Clause 4.1</w:t>
            </w:r>
            <w:r w:rsidR="00DE5AD5">
              <w:rPr>
                <w:rFonts w:eastAsia="Arial"/>
              </w:rPr>
              <w:t>B</w:t>
            </w:r>
            <w:r>
              <w:rPr>
                <w:rFonts w:eastAsia="Arial"/>
              </w:rPr>
              <w:t xml:space="preserve"> </w:t>
            </w:r>
            <w:r w:rsidR="001C3B5B">
              <w:rPr>
                <w:rFonts w:eastAsia="Arial"/>
              </w:rPr>
              <w:t xml:space="preserve">as well as the R3 Medium Density </w:t>
            </w:r>
            <w:r w:rsidR="009435D4">
              <w:rPr>
                <w:rFonts w:eastAsia="Arial"/>
              </w:rPr>
              <w:t>Residential</w:t>
            </w:r>
            <w:r w:rsidR="001C3B5B">
              <w:rPr>
                <w:rFonts w:eastAsia="Arial"/>
              </w:rPr>
              <w:t xml:space="preserve"> zone</w:t>
            </w:r>
            <w:r w:rsidR="009435D4">
              <w:rPr>
                <w:rFonts w:eastAsia="Arial"/>
              </w:rPr>
              <w:t xml:space="preserve"> were upheld </w:t>
            </w:r>
            <w:proofErr w:type="gramStart"/>
            <w:r w:rsidR="009435D4">
              <w:rPr>
                <w:rFonts w:eastAsia="Arial"/>
              </w:rPr>
              <w:t>as a result of</w:t>
            </w:r>
            <w:proofErr w:type="gramEnd"/>
            <w:r w:rsidR="009435D4">
              <w:rPr>
                <w:rFonts w:eastAsia="Arial"/>
              </w:rPr>
              <w:t xml:space="preserve"> the proposed development and the proposal was considered to be in the public interest.</w:t>
            </w:r>
          </w:p>
          <w:p w14:paraId="6BEB7973" w14:textId="77777777" w:rsidR="009435D4" w:rsidRDefault="009435D4" w:rsidP="00CC18D5">
            <w:pPr>
              <w:jc w:val="both"/>
              <w:rPr>
                <w:rFonts w:eastAsia="Arial"/>
              </w:rPr>
            </w:pPr>
          </w:p>
          <w:p w14:paraId="72CFF960" w14:textId="51E643A5" w:rsidR="00120547" w:rsidRPr="00715986" w:rsidRDefault="009435D4" w:rsidP="00DE5AD5">
            <w:pPr>
              <w:jc w:val="both"/>
              <w:rPr>
                <w:highlight w:val="yellow"/>
              </w:rPr>
            </w:pPr>
            <w:r>
              <w:rPr>
                <w:rFonts w:eastAsia="Arial"/>
              </w:rPr>
              <w:t>The minimum pre</w:t>
            </w:r>
            <w:r w:rsidR="00837EBE">
              <w:rPr>
                <w:rFonts w:eastAsia="Arial"/>
              </w:rPr>
              <w:t xml:space="preserve">scribed </w:t>
            </w:r>
            <w:r>
              <w:rPr>
                <w:rFonts w:eastAsia="Arial"/>
              </w:rPr>
              <w:t>d</w:t>
            </w:r>
            <w:r w:rsidR="00F86AF2" w:rsidRPr="00301314">
              <w:rPr>
                <w:rFonts w:eastAsia="Arial"/>
              </w:rPr>
              <w:t xml:space="preserve">ensity </w:t>
            </w:r>
            <w:r w:rsidR="00883B08">
              <w:rPr>
                <w:rFonts w:eastAsia="Arial"/>
              </w:rPr>
              <w:t>a</w:t>
            </w:r>
            <w:r w:rsidR="00837EBE">
              <w:rPr>
                <w:rFonts w:eastAsia="Arial"/>
              </w:rPr>
              <w:t xml:space="preserve">pplied to the site is </w:t>
            </w:r>
            <w:r w:rsidR="00F86AF2" w:rsidRPr="00301314">
              <w:rPr>
                <w:rFonts w:eastAsia="Arial"/>
              </w:rPr>
              <w:t>25dw/ha</w:t>
            </w:r>
            <w:r w:rsidR="00A65772">
              <w:rPr>
                <w:rFonts w:eastAsia="Arial"/>
              </w:rPr>
              <w:t>.</w:t>
            </w:r>
            <w:r w:rsidR="00DE5AD5">
              <w:rPr>
                <w:rFonts w:eastAsia="Arial"/>
              </w:rPr>
              <w:t xml:space="preserve"> </w:t>
            </w:r>
            <w:r w:rsidR="00253E9D">
              <w:rPr>
                <w:rFonts w:eastAsia="Arial"/>
              </w:rPr>
              <w:t xml:space="preserve">The application proposed a density of 2.47 </w:t>
            </w:r>
            <w:proofErr w:type="spellStart"/>
            <w:r w:rsidR="00253E9D">
              <w:rPr>
                <w:rFonts w:eastAsia="Arial"/>
              </w:rPr>
              <w:t>dw</w:t>
            </w:r>
            <w:proofErr w:type="spellEnd"/>
            <w:r w:rsidR="00253E9D">
              <w:rPr>
                <w:rFonts w:eastAsia="Arial"/>
              </w:rPr>
              <w:t>/ha. This equates to a variation of 90.12% to the development standard.</w:t>
            </w:r>
          </w:p>
        </w:tc>
      </w:tr>
      <w:tr w:rsidR="009A761D" w:rsidRPr="003628E8" w14:paraId="3C23148E" w14:textId="77777777" w:rsidTr="00095CA6">
        <w:tc>
          <w:tcPr>
            <w:tcW w:w="2410" w:type="dxa"/>
          </w:tcPr>
          <w:p w14:paraId="7B500EF5" w14:textId="77777777" w:rsidR="009A761D" w:rsidRPr="003628E8" w:rsidRDefault="009A761D" w:rsidP="009A761D">
            <w:pPr>
              <w:rPr>
                <w:b/>
                <w:bCs/>
              </w:rPr>
            </w:pPr>
            <w:r w:rsidRPr="003628E8">
              <w:rPr>
                <w:b/>
                <w:bCs/>
              </w:rPr>
              <w:t>Extent of Variation:</w:t>
            </w:r>
          </w:p>
        </w:tc>
        <w:tc>
          <w:tcPr>
            <w:tcW w:w="7797" w:type="dxa"/>
          </w:tcPr>
          <w:p w14:paraId="495AD17A" w14:textId="0474D1D9" w:rsidR="009A761D" w:rsidRPr="00715986" w:rsidRDefault="00B73290" w:rsidP="009A761D">
            <w:pPr>
              <w:jc w:val="both"/>
              <w:rPr>
                <w:highlight w:val="yellow"/>
              </w:rPr>
            </w:pPr>
            <w:r>
              <w:rPr>
                <w:rFonts w:eastAsia="Arial"/>
              </w:rPr>
              <w:t xml:space="preserve">22.53 </w:t>
            </w:r>
            <w:proofErr w:type="spellStart"/>
            <w:r>
              <w:rPr>
                <w:rFonts w:eastAsia="Arial"/>
              </w:rPr>
              <w:t>dw</w:t>
            </w:r>
            <w:proofErr w:type="spellEnd"/>
            <w:r>
              <w:rPr>
                <w:rFonts w:eastAsia="Arial"/>
              </w:rPr>
              <w:t xml:space="preserve">/ha / </w:t>
            </w:r>
            <w:r w:rsidR="009A761D">
              <w:rPr>
                <w:rFonts w:eastAsia="Arial"/>
              </w:rPr>
              <w:t>90.12%</w:t>
            </w:r>
          </w:p>
        </w:tc>
      </w:tr>
      <w:tr w:rsidR="00715986" w:rsidRPr="003628E8" w14:paraId="3EF61E00" w14:textId="77777777" w:rsidTr="00095CA6">
        <w:tc>
          <w:tcPr>
            <w:tcW w:w="2410" w:type="dxa"/>
          </w:tcPr>
          <w:p w14:paraId="28D86042" w14:textId="77777777" w:rsidR="00715986" w:rsidRPr="003628E8" w:rsidRDefault="00715986" w:rsidP="00715986">
            <w:pPr>
              <w:rPr>
                <w:b/>
                <w:bCs/>
              </w:rPr>
            </w:pPr>
            <w:r w:rsidRPr="003628E8">
              <w:rPr>
                <w:b/>
                <w:bCs/>
              </w:rPr>
              <w:t>Concurring Authority:</w:t>
            </w:r>
          </w:p>
        </w:tc>
        <w:tc>
          <w:tcPr>
            <w:tcW w:w="7797" w:type="dxa"/>
          </w:tcPr>
          <w:p w14:paraId="0FF18132" w14:textId="096FCC5A" w:rsidR="00715986" w:rsidRPr="009A761D" w:rsidRDefault="00715986" w:rsidP="00715986">
            <w:pPr>
              <w:jc w:val="both"/>
            </w:pPr>
            <w:r w:rsidRPr="009A761D">
              <w:t>Liverpool LPP under assumed concurrence</w:t>
            </w:r>
          </w:p>
        </w:tc>
      </w:tr>
      <w:tr w:rsidR="00715986" w:rsidRPr="003628E8" w14:paraId="31B3DE60" w14:textId="77777777" w:rsidTr="00095CA6">
        <w:tc>
          <w:tcPr>
            <w:tcW w:w="2410" w:type="dxa"/>
          </w:tcPr>
          <w:p w14:paraId="02E9C0BE" w14:textId="77777777" w:rsidR="00715986" w:rsidRPr="003628E8" w:rsidRDefault="00715986" w:rsidP="00715986">
            <w:pPr>
              <w:rPr>
                <w:b/>
                <w:bCs/>
              </w:rPr>
            </w:pPr>
            <w:r w:rsidRPr="003628E8">
              <w:rPr>
                <w:b/>
                <w:bCs/>
              </w:rPr>
              <w:t>Date Determined:</w:t>
            </w:r>
          </w:p>
        </w:tc>
        <w:tc>
          <w:tcPr>
            <w:tcW w:w="7797" w:type="dxa"/>
          </w:tcPr>
          <w:p w14:paraId="5C93EB39" w14:textId="7458C456" w:rsidR="00715986" w:rsidRPr="009A761D" w:rsidRDefault="009A761D" w:rsidP="00715986">
            <w:pPr>
              <w:jc w:val="both"/>
            </w:pPr>
            <w:r w:rsidRPr="009A761D">
              <w:t>31 July</w:t>
            </w:r>
            <w:r w:rsidR="00715986" w:rsidRPr="009A761D">
              <w:t xml:space="preserve"> 2023</w:t>
            </w:r>
          </w:p>
        </w:tc>
      </w:tr>
    </w:tbl>
    <w:p w14:paraId="5E8AE0EF" w14:textId="77777777" w:rsidR="00BC6AAE" w:rsidRDefault="00BC6AAE" w:rsidP="00080B43">
      <w:pPr>
        <w:spacing w:after="0" w:line="240" w:lineRule="auto"/>
      </w:pPr>
    </w:p>
    <w:sectPr w:rsidR="00BC6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7EE7"/>
    <w:multiLevelType w:val="hybridMultilevel"/>
    <w:tmpl w:val="716EF2EC"/>
    <w:lvl w:ilvl="0" w:tplc="54FCD85C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41221"/>
    <w:multiLevelType w:val="hybridMultilevel"/>
    <w:tmpl w:val="4800AF0C"/>
    <w:lvl w:ilvl="0" w:tplc="54FCD85C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45832"/>
    <w:multiLevelType w:val="hybridMultilevel"/>
    <w:tmpl w:val="5DCE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47D"/>
    <w:multiLevelType w:val="hybridMultilevel"/>
    <w:tmpl w:val="DE88B686"/>
    <w:lvl w:ilvl="0" w:tplc="54FCD85C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73F87"/>
    <w:multiLevelType w:val="hybridMultilevel"/>
    <w:tmpl w:val="D7A6BB04"/>
    <w:lvl w:ilvl="0" w:tplc="54FCD85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581193">
    <w:abstractNumId w:val="2"/>
  </w:num>
  <w:num w:numId="2" w16cid:durableId="832069208">
    <w:abstractNumId w:val="4"/>
  </w:num>
  <w:num w:numId="3" w16cid:durableId="1872184635">
    <w:abstractNumId w:val="0"/>
  </w:num>
  <w:num w:numId="4" w16cid:durableId="1345938799">
    <w:abstractNumId w:val="1"/>
  </w:num>
  <w:num w:numId="5" w16cid:durableId="685792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7D"/>
    <w:rsid w:val="00080B43"/>
    <w:rsid w:val="00086D37"/>
    <w:rsid w:val="00095CA6"/>
    <w:rsid w:val="00120547"/>
    <w:rsid w:val="001B667D"/>
    <w:rsid w:val="001C3B5B"/>
    <w:rsid w:val="001D2C1B"/>
    <w:rsid w:val="00202596"/>
    <w:rsid w:val="00253E9D"/>
    <w:rsid w:val="002D55DB"/>
    <w:rsid w:val="002E5B40"/>
    <w:rsid w:val="00301314"/>
    <w:rsid w:val="00456A22"/>
    <w:rsid w:val="00465D61"/>
    <w:rsid w:val="00483F16"/>
    <w:rsid w:val="00502ECB"/>
    <w:rsid w:val="00696D70"/>
    <w:rsid w:val="006F0DA2"/>
    <w:rsid w:val="00707FE8"/>
    <w:rsid w:val="00715986"/>
    <w:rsid w:val="00741ABF"/>
    <w:rsid w:val="00793E69"/>
    <w:rsid w:val="007C3CBE"/>
    <w:rsid w:val="007E34DD"/>
    <w:rsid w:val="00832734"/>
    <w:rsid w:val="00837EBE"/>
    <w:rsid w:val="00883B08"/>
    <w:rsid w:val="008E1016"/>
    <w:rsid w:val="009435D4"/>
    <w:rsid w:val="00973799"/>
    <w:rsid w:val="009A761D"/>
    <w:rsid w:val="009B4198"/>
    <w:rsid w:val="00A65772"/>
    <w:rsid w:val="00B73290"/>
    <w:rsid w:val="00B757D5"/>
    <w:rsid w:val="00BC6AAE"/>
    <w:rsid w:val="00BC6F97"/>
    <w:rsid w:val="00BE4BE5"/>
    <w:rsid w:val="00C34927"/>
    <w:rsid w:val="00C76FB8"/>
    <w:rsid w:val="00C87D88"/>
    <w:rsid w:val="00CC18D5"/>
    <w:rsid w:val="00CD0AE2"/>
    <w:rsid w:val="00D36535"/>
    <w:rsid w:val="00D6714A"/>
    <w:rsid w:val="00D95831"/>
    <w:rsid w:val="00DA6F3B"/>
    <w:rsid w:val="00DE5AD5"/>
    <w:rsid w:val="00DF63D1"/>
    <w:rsid w:val="00ED0691"/>
    <w:rsid w:val="00F30B2C"/>
    <w:rsid w:val="00F54203"/>
    <w:rsid w:val="00F86AF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6773"/>
  <w15:chartTrackingRefBased/>
  <w15:docId w15:val="{5EB4F10F-EDA3-4416-983D-4E10CE5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4944-9B29-46D6-A54E-18CBB7F8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231</Words>
  <Characters>1378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Micallef</dc:creator>
  <cp:keywords/>
  <dc:description/>
  <cp:lastModifiedBy>William Attard</cp:lastModifiedBy>
  <cp:revision>53</cp:revision>
  <cp:lastPrinted>2023-10-08T22:51:00Z</cp:lastPrinted>
  <dcterms:created xsi:type="dcterms:W3CDTF">2023-07-03T22:05:00Z</dcterms:created>
  <dcterms:modified xsi:type="dcterms:W3CDTF">2023-10-08T22:51:00Z</dcterms:modified>
</cp:coreProperties>
</file>